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893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e of priority funding areas"/>
      </w:tblPr>
      <w:tblGrid>
        <w:gridCol w:w="3420"/>
        <w:gridCol w:w="3510"/>
        <w:gridCol w:w="2430"/>
      </w:tblGrid>
      <w:tr w:rsidR="004B38B2" w:rsidRPr="000F28DE" w:rsidTr="00B77BC5">
        <w:trPr>
          <w:trHeight w:val="135"/>
          <w:tblHeader/>
        </w:trPr>
        <w:tc>
          <w:tcPr>
            <w:tcW w:w="3420" w:type="dxa"/>
            <w:shd w:val="clear" w:color="auto" w:fill="DEEAF6" w:themeFill="accent1" w:themeFillTint="33"/>
          </w:tcPr>
          <w:p w:rsidR="004B38B2" w:rsidRPr="000F28DE" w:rsidRDefault="004B38B2" w:rsidP="00327065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  <w:b/>
              </w:rPr>
              <w:t>First Priority Areas</w:t>
            </w:r>
          </w:p>
        </w:tc>
        <w:tc>
          <w:tcPr>
            <w:tcW w:w="3510" w:type="dxa"/>
            <w:shd w:val="clear" w:color="auto" w:fill="DEEAF6" w:themeFill="accent1" w:themeFillTint="33"/>
          </w:tcPr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  <w:b/>
              </w:rPr>
              <w:t>Third Priority Areas</w:t>
            </w:r>
          </w:p>
        </w:tc>
        <w:tc>
          <w:tcPr>
            <w:tcW w:w="2430" w:type="dxa"/>
            <w:shd w:val="clear" w:color="auto" w:fill="DEEAF6" w:themeFill="accent1" w:themeFillTint="33"/>
          </w:tcPr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eastAsia="Times New Roman" w:hAnsi="Arial" w:cs="Arial"/>
                <w:b/>
              </w:rPr>
              <w:t>Fourth Priority Areas</w:t>
            </w:r>
          </w:p>
        </w:tc>
      </w:tr>
      <w:tr w:rsidR="004B38B2" w:rsidRPr="000F28DE" w:rsidTr="00B77BC5">
        <w:trPr>
          <w:trHeight w:val="885"/>
          <w:tblHeader/>
        </w:trPr>
        <w:tc>
          <w:tcPr>
            <w:tcW w:w="3420" w:type="dxa"/>
          </w:tcPr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Hopewell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Norfolk City</w:t>
            </w:r>
          </w:p>
          <w:p w:rsidR="004B38B2" w:rsidRPr="000F28DE" w:rsidRDefault="004B38B2" w:rsidP="000F28DE">
            <w:pPr>
              <w:rPr>
                <w:rFonts w:ascii="Arial" w:hAnsi="Arial" w:cs="Arial"/>
                <w:b/>
              </w:rPr>
            </w:pPr>
            <w:r w:rsidRPr="000F28DE">
              <w:rPr>
                <w:rFonts w:ascii="Arial" w:hAnsi="Arial" w:cs="Arial"/>
              </w:rPr>
              <w:t>Northampton County</w:t>
            </w:r>
          </w:p>
        </w:tc>
        <w:tc>
          <w:tcPr>
            <w:tcW w:w="3510" w:type="dxa"/>
            <w:vMerge w:val="restart"/>
          </w:tcPr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Alleghany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Amelia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Bath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Bristol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Buchanan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Caroline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Carroll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Charles City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Charlottesville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Chesterfield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Colonial Heights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Covington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Culpeper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Dickenson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Dinwiddie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Essex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Floyd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Fredericksburg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Gloucester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Grayson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Henrico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Highland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James City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King and Queen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King George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King William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Lancaster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Lee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Lexington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Mathews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New Kent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Northumberland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Norton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Page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Patrick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Poquoson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Prince George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Radford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Russell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Scott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Smyth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Southampton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Spotsylvania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Stafford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Surry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Tazewell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Washington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Westmoreland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Williamsburg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Winchester City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Wise County</w:t>
            </w:r>
          </w:p>
          <w:p w:rsidR="004B38B2" w:rsidRPr="00B77BC5" w:rsidRDefault="004B38B2" w:rsidP="000F28DE">
            <w:pPr>
              <w:rPr>
                <w:rFonts w:ascii="Arial" w:hAnsi="Arial" w:cs="Arial"/>
                <w:b/>
                <w:kern w:val="22"/>
              </w:rPr>
            </w:pPr>
            <w:r w:rsidRPr="00B77BC5">
              <w:rPr>
                <w:rFonts w:ascii="Arial" w:hAnsi="Arial" w:cs="Arial"/>
                <w:kern w:val="22"/>
              </w:rPr>
              <w:t>Wythe County</w:t>
            </w:r>
          </w:p>
        </w:tc>
        <w:tc>
          <w:tcPr>
            <w:tcW w:w="2430" w:type="dxa"/>
            <w:vMerge w:val="restart"/>
          </w:tcPr>
          <w:p w:rsidR="004B38B2" w:rsidRPr="000F28DE" w:rsidRDefault="004B38B2" w:rsidP="000F28DE">
            <w:pPr>
              <w:rPr>
                <w:rFonts w:ascii="Arial" w:eastAsia="Times New Roman" w:hAnsi="Arial" w:cs="Arial"/>
              </w:rPr>
            </w:pPr>
            <w:r w:rsidRPr="000F28DE">
              <w:rPr>
                <w:rFonts w:ascii="Arial" w:eastAsia="Times New Roman" w:hAnsi="Arial" w:cs="Arial"/>
              </w:rPr>
              <w:t>Albemarle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</w:rPr>
            </w:pPr>
            <w:r w:rsidRPr="000F28DE">
              <w:rPr>
                <w:rFonts w:ascii="Arial" w:eastAsia="Times New Roman" w:hAnsi="Arial" w:cs="Arial"/>
              </w:rPr>
              <w:t>Appomattox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</w:rPr>
            </w:pPr>
            <w:r w:rsidRPr="000F28DE">
              <w:rPr>
                <w:rFonts w:ascii="Arial" w:eastAsia="Times New Roman" w:hAnsi="Arial" w:cs="Arial"/>
              </w:rPr>
              <w:t>Augusta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</w:rPr>
            </w:pPr>
            <w:r w:rsidRPr="000F28DE">
              <w:rPr>
                <w:rFonts w:ascii="Arial" w:eastAsia="Times New Roman" w:hAnsi="Arial" w:cs="Arial"/>
              </w:rPr>
              <w:t>Bedford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Bland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Botetourt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Campbell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Clarke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Craig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Fauquier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Fluvanna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Franklin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Frederick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Giles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Goochland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Greene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Hanover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Louisa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Madison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Middlesex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Montgomery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Nelson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Orange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Powhatan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Pulaski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Rappahannock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Roanoke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Rockbridge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Rockingham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Salem city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color w:val="000000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Shenandoah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eastAsia="Times New Roman" w:hAnsi="Arial" w:cs="Arial"/>
                <w:color w:val="000000"/>
              </w:rPr>
              <w:t>Warren County</w:t>
            </w:r>
          </w:p>
          <w:p w:rsidR="004B38B2" w:rsidRPr="000F28DE" w:rsidRDefault="004B38B2" w:rsidP="000F28DE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4B38B2" w:rsidRPr="000F28DE" w:rsidTr="00B77BC5">
        <w:trPr>
          <w:trHeight w:val="195"/>
          <w:tblHeader/>
        </w:trPr>
        <w:tc>
          <w:tcPr>
            <w:tcW w:w="3420" w:type="dxa"/>
            <w:shd w:val="clear" w:color="auto" w:fill="DEEAF6" w:themeFill="accent1" w:themeFillTint="33"/>
          </w:tcPr>
          <w:p w:rsidR="004B38B2" w:rsidRPr="000F28DE" w:rsidRDefault="004B38B2" w:rsidP="000F28DE">
            <w:pPr>
              <w:rPr>
                <w:rFonts w:ascii="Arial" w:hAnsi="Arial" w:cs="Arial"/>
                <w:b/>
              </w:rPr>
            </w:pPr>
            <w:r w:rsidRPr="000F28DE">
              <w:rPr>
                <w:rFonts w:ascii="Arial" w:hAnsi="Arial" w:cs="Arial"/>
                <w:b/>
              </w:rPr>
              <w:t>Second Priority Areas</w:t>
            </w:r>
          </w:p>
        </w:tc>
        <w:tc>
          <w:tcPr>
            <w:tcW w:w="3510" w:type="dxa"/>
            <w:vMerge/>
          </w:tcPr>
          <w:p w:rsidR="004B38B2" w:rsidRPr="000F28DE" w:rsidRDefault="004B38B2" w:rsidP="000F28DE">
            <w:pPr>
              <w:rPr>
                <w:rFonts w:ascii="Arial" w:hAnsi="Arial" w:cs="Arial"/>
                <w:b/>
              </w:rPr>
            </w:pPr>
          </w:p>
        </w:tc>
        <w:tc>
          <w:tcPr>
            <w:tcW w:w="2430" w:type="dxa"/>
            <w:vMerge/>
          </w:tcPr>
          <w:p w:rsidR="004B38B2" w:rsidRPr="000F28DE" w:rsidRDefault="004B38B2" w:rsidP="000F28DE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4B38B2" w:rsidRPr="000F28DE" w:rsidTr="00B77BC5">
        <w:trPr>
          <w:trHeight w:val="10935"/>
          <w:tblHeader/>
        </w:trPr>
        <w:tc>
          <w:tcPr>
            <w:tcW w:w="3420" w:type="dxa"/>
          </w:tcPr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Accomack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Alexandria City</w:t>
            </w:r>
            <w:bookmarkStart w:id="0" w:name="_GoBack"/>
            <w:bookmarkEnd w:id="0"/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Amherst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Arlington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Brunswick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Buckingham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Buena Vista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Charlotte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Chesapeake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Cumberland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Danville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Emporia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Fairfax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Fairfax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Falls Church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Franklin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Galax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Greensville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Halifax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Hampton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Harrisonburg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Henry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Isle of Wight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Loudoun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Lunenburg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Lynchburg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Manassas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Manassas Park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Martinsville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Mecklenburg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Newport News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Nottoway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Petersburg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Pittsylvania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Portsmouth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Prince Edward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Prince William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Richmond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Richmond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Roanoke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Staunton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Suffolk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Sussex County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Virginia Beach City</w:t>
            </w:r>
          </w:p>
          <w:p w:rsidR="004B38B2" w:rsidRPr="000F28DE" w:rsidRDefault="004B38B2" w:rsidP="000F28DE">
            <w:pPr>
              <w:rPr>
                <w:rFonts w:ascii="Arial" w:hAnsi="Arial" w:cs="Arial"/>
              </w:rPr>
            </w:pPr>
            <w:r w:rsidRPr="000F28DE">
              <w:rPr>
                <w:rFonts w:ascii="Arial" w:hAnsi="Arial" w:cs="Arial"/>
              </w:rPr>
              <w:t>Waynesboro City</w:t>
            </w:r>
          </w:p>
          <w:p w:rsidR="004B38B2" w:rsidRPr="000F28DE" w:rsidRDefault="004B38B2" w:rsidP="000F28DE">
            <w:pPr>
              <w:rPr>
                <w:rFonts w:ascii="Arial" w:hAnsi="Arial" w:cs="Arial"/>
                <w:b/>
              </w:rPr>
            </w:pPr>
            <w:r w:rsidRPr="000F28DE">
              <w:rPr>
                <w:rFonts w:ascii="Arial" w:hAnsi="Arial" w:cs="Arial"/>
              </w:rPr>
              <w:t>York County</w:t>
            </w:r>
          </w:p>
        </w:tc>
        <w:tc>
          <w:tcPr>
            <w:tcW w:w="3510" w:type="dxa"/>
            <w:vMerge/>
          </w:tcPr>
          <w:p w:rsidR="004B38B2" w:rsidRPr="000F28DE" w:rsidRDefault="004B38B2" w:rsidP="000F28DE">
            <w:pPr>
              <w:rPr>
                <w:rFonts w:ascii="Arial" w:hAnsi="Arial" w:cs="Arial"/>
                <w:b/>
              </w:rPr>
            </w:pPr>
          </w:p>
        </w:tc>
        <w:tc>
          <w:tcPr>
            <w:tcW w:w="2430" w:type="dxa"/>
            <w:vMerge/>
          </w:tcPr>
          <w:p w:rsidR="004B38B2" w:rsidRPr="000F28DE" w:rsidRDefault="004B38B2" w:rsidP="000F28DE">
            <w:pPr>
              <w:rPr>
                <w:rFonts w:ascii="Arial" w:eastAsia="Times New Roman" w:hAnsi="Arial" w:cs="Arial"/>
                <w:b/>
              </w:rPr>
            </w:pPr>
          </w:p>
        </w:tc>
      </w:tr>
    </w:tbl>
    <w:p w:rsidR="00D7266E" w:rsidRPr="0026467B" w:rsidRDefault="000F28DE" w:rsidP="0026467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5911215</wp:posOffset>
                </wp:positionV>
                <wp:extent cx="2037080" cy="2265045"/>
                <wp:effectExtent l="19050" t="19050" r="20320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22650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:rsidR="000F28DE" w:rsidRPr="000F28DE" w:rsidRDefault="000F28DE" w:rsidP="000F28DE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0F28DE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</w:rPr>
                              <w:t>Note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 xml:space="preserve">: </w:t>
                            </w:r>
                            <w:r w:rsidRPr="000F28DE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Priority will be given to applications for projects in low income counties/cities, minority counties/cites, or counties/cities listed on the U.S. Environmental Protection Agency 2020 Diesel Emission Reduction Act Priority Area List. Priority counties/cities identified on multiple lists will receive a higher ranking.</w:t>
                            </w:r>
                          </w:p>
                          <w:p w:rsidR="000F28DE" w:rsidRDefault="000F28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5pt;margin-top:465.45pt;width:160.4pt;height:17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" filled="f" strokecolor="#bdd6ee [1300]" strokeweight="3pt">
                <v:textbox>
                  <w:txbxContent>
                    <w:p w:rsidR="000F28DE" w:rsidRPr="000F28DE" w:rsidRDefault="000F28DE" w:rsidP="000F28DE">
                      <w:pPr>
                        <w:rPr>
                          <w:rFonts w:ascii="Arial" w:eastAsia="Times New Roman" w:hAnsi="Arial" w:cs="Arial"/>
                          <w:color w:val="000000"/>
                        </w:rPr>
                      </w:pPr>
                      <w:r w:rsidRPr="000F28DE">
                        <w:rPr>
                          <w:rFonts w:ascii="Arial" w:eastAsia="Times New Roman" w:hAnsi="Arial" w:cs="Arial"/>
                          <w:b/>
                          <w:color w:val="000000"/>
                        </w:rPr>
                        <w:t>Note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</w:rPr>
                        <w:t xml:space="preserve">: </w:t>
                      </w:r>
                      <w:r w:rsidRPr="000F28DE">
                        <w:rPr>
                          <w:rFonts w:ascii="Arial" w:eastAsia="Times New Roman" w:hAnsi="Arial" w:cs="Arial"/>
                          <w:color w:val="000000"/>
                        </w:rPr>
                        <w:t>Priority will be given to applications for projects in low income counties/cities, minority counties/cites, or counties/cities listed on the U.S. Environmental Protection Agency 2020 Diesel Emission Reduction Act Priority Area List. Priority counties/cities identified on multiple lists will receive a higher ranking.</w:t>
                      </w:r>
                    </w:p>
                    <w:p w:rsidR="000F28DE" w:rsidRDefault="000F28DE"/>
                  </w:txbxContent>
                </v:textbox>
              </v:shape>
            </w:pict>
          </mc:Fallback>
        </mc:AlternateContent>
      </w:r>
    </w:p>
    <w:sectPr w:rsidR="00D7266E" w:rsidRPr="0026467B" w:rsidSect="004B38B2">
      <w:headerReference w:type="default" r:id="rId7"/>
      <w:pgSz w:w="12240" w:h="15840"/>
      <w:pgMar w:top="1440" w:right="171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620" w:rsidRDefault="002F5620" w:rsidP="00426B84">
      <w:pPr>
        <w:spacing w:after="0" w:line="240" w:lineRule="auto"/>
      </w:pPr>
      <w:r>
        <w:separator/>
      </w:r>
    </w:p>
  </w:endnote>
  <w:endnote w:type="continuationSeparator" w:id="0">
    <w:p w:rsidR="002F5620" w:rsidRDefault="002F5620" w:rsidP="00426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620" w:rsidRDefault="002F5620" w:rsidP="00426B84">
      <w:pPr>
        <w:spacing w:after="0" w:line="240" w:lineRule="auto"/>
      </w:pPr>
      <w:r>
        <w:separator/>
      </w:r>
    </w:p>
  </w:footnote>
  <w:footnote w:type="continuationSeparator" w:id="0">
    <w:p w:rsidR="002F5620" w:rsidRDefault="002F5620" w:rsidP="00426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B84" w:rsidRDefault="00426B84" w:rsidP="00426B84">
    <w:pPr>
      <w:spacing w:before="3" w:after="0" w:line="274" w:lineRule="exact"/>
      <w:jc w:val="right"/>
      <w:textAlignment w:val="baseline"/>
      <w:rPr>
        <w:rFonts w:ascii="Arial" w:eastAsia="Times New Roman" w:hAnsi="Arial" w:cs="Arial"/>
        <w:b/>
        <w:color w:val="000000"/>
        <w:sz w:val="32"/>
        <w:szCs w:val="32"/>
      </w:rPr>
    </w:pPr>
    <w:r w:rsidRPr="00517483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94EAEEB" wp14:editId="5A995BD0">
          <wp:simplePos x="0" y="0"/>
          <wp:positionH relativeFrom="margin">
            <wp:posOffset>58420</wp:posOffset>
          </wp:positionH>
          <wp:positionV relativeFrom="margin">
            <wp:posOffset>-797614</wp:posOffset>
          </wp:positionV>
          <wp:extent cx="1143000" cy="539731"/>
          <wp:effectExtent l="0" t="0" r="0" b="0"/>
          <wp:wrapSquare wrapText="bothSides"/>
          <wp:docPr id="5" name="Picture 5" title="DEQ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Q logo banner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39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7483">
      <w:rPr>
        <w:rFonts w:ascii="Arial" w:eastAsia="Times New Roman" w:hAnsi="Arial" w:cs="Arial"/>
        <w:b/>
        <w:color w:val="000000"/>
        <w:sz w:val="32"/>
        <w:szCs w:val="32"/>
      </w:rPr>
      <w:t>Clean Air Communities Program</w:t>
    </w:r>
  </w:p>
  <w:p w:rsidR="00426B84" w:rsidRDefault="006F5906" w:rsidP="006F5906">
    <w:pPr>
      <w:spacing w:after="0" w:line="240" w:lineRule="auto"/>
      <w:jc w:val="right"/>
      <w:rPr>
        <w:rFonts w:ascii="Arial" w:hAnsi="Arial" w:cs="Arial"/>
        <w:szCs w:val="20"/>
      </w:rPr>
    </w:pPr>
    <w:r w:rsidRPr="006F5906">
      <w:rPr>
        <w:rFonts w:ascii="Arial" w:hAnsi="Arial" w:cs="Arial"/>
        <w:szCs w:val="20"/>
      </w:rPr>
      <w:tab/>
    </w:r>
    <w:r w:rsidR="004B38B2">
      <w:rPr>
        <w:rFonts w:ascii="Arial" w:hAnsi="Arial" w:cs="Arial"/>
        <w:szCs w:val="20"/>
      </w:rPr>
      <w:t xml:space="preserve">Appendix </w:t>
    </w:r>
    <w:r w:rsidR="00E318C4">
      <w:rPr>
        <w:rFonts w:ascii="Arial" w:hAnsi="Arial" w:cs="Arial"/>
        <w:szCs w:val="20"/>
      </w:rPr>
      <w:t>E</w:t>
    </w:r>
    <w:r w:rsidR="004B38B2">
      <w:rPr>
        <w:rFonts w:ascii="Arial" w:hAnsi="Arial" w:cs="Arial"/>
        <w:szCs w:val="20"/>
      </w:rPr>
      <w:t xml:space="preserve">: </w:t>
    </w:r>
    <w:r w:rsidRPr="006F5906">
      <w:rPr>
        <w:rFonts w:ascii="Arial" w:hAnsi="Arial" w:cs="Arial"/>
        <w:szCs w:val="20"/>
      </w:rPr>
      <w:t>Grant Priority Areas</w:t>
    </w:r>
  </w:p>
  <w:p w:rsidR="000D574C" w:rsidRPr="006F5906" w:rsidRDefault="00786F66" w:rsidP="006F5906">
    <w:pPr>
      <w:spacing w:after="0" w:line="240" w:lineRule="auto"/>
      <w:jc w:val="right"/>
      <w:rPr>
        <w:rFonts w:ascii="Arial" w:hAnsi="Arial" w:cs="Arial"/>
        <w:szCs w:val="20"/>
      </w:rPr>
    </w:pPr>
    <w:r>
      <w:rPr>
        <w:rFonts w:ascii="Arial" w:hAnsi="Arial" w:cs="Arial"/>
        <w:szCs w:val="20"/>
      </w:rPr>
      <w:t>October</w:t>
    </w:r>
    <w:r w:rsidR="000D574C">
      <w:rPr>
        <w:rFonts w:ascii="Arial" w:hAnsi="Arial" w:cs="Arial"/>
        <w:szCs w:val="20"/>
      </w:rPr>
      <w:t xml:space="preserve"> 2020</w:t>
    </w:r>
  </w:p>
  <w:p w:rsidR="00426B84" w:rsidRDefault="00426B84" w:rsidP="00426B84">
    <w:pPr>
      <w:pStyle w:val="Header"/>
    </w:pPr>
    <w:r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inline distT="0" distB="0" distL="0" distR="0" wp14:anchorId="486430E0" wp14:editId="46B3D3F2">
              <wp:extent cx="5943600" cy="45719"/>
              <wp:effectExtent l="0" t="0" r="19050" b="12065"/>
              <wp:docPr id="1" name="Rectangle 1" title="Decorativ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943600" cy="45719"/>
                      </a:xfrm>
                      <a:prstGeom prst="rect">
                        <a:avLst/>
                      </a:prstGeom>
                      <a:solidFill>
                        <a:srgbClr val="00806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EED5266" id="Rectangle 1" o:spid="_x0000_s1026" alt="Title: Decorative" style="width:46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" fillcolor="#008061" strokecolor="#1f4d78 [1604]" strokeweight="1pt">
              <w10:anchorlock/>
            </v:rect>
          </w:pict>
        </mc:Fallback>
      </mc:AlternateContent>
    </w:r>
  </w:p>
  <w:p w:rsidR="00426B84" w:rsidRPr="000F28DE" w:rsidRDefault="00426B84">
    <w:pPr>
      <w:pStyle w:val="Header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6E"/>
    <w:rsid w:val="0001497A"/>
    <w:rsid w:val="000C2400"/>
    <w:rsid w:val="000D574C"/>
    <w:rsid w:val="000F28DE"/>
    <w:rsid w:val="00225F11"/>
    <w:rsid w:val="0026467B"/>
    <w:rsid w:val="002F5620"/>
    <w:rsid w:val="00327065"/>
    <w:rsid w:val="00341F32"/>
    <w:rsid w:val="004123AF"/>
    <w:rsid w:val="00426B84"/>
    <w:rsid w:val="00491440"/>
    <w:rsid w:val="004B38B2"/>
    <w:rsid w:val="004E7CEA"/>
    <w:rsid w:val="00567400"/>
    <w:rsid w:val="006B45BE"/>
    <w:rsid w:val="006F5906"/>
    <w:rsid w:val="0072641B"/>
    <w:rsid w:val="00786F66"/>
    <w:rsid w:val="00797043"/>
    <w:rsid w:val="009164A1"/>
    <w:rsid w:val="00AA49CD"/>
    <w:rsid w:val="00B77BC5"/>
    <w:rsid w:val="00B77CA3"/>
    <w:rsid w:val="00BD2696"/>
    <w:rsid w:val="00BD47C7"/>
    <w:rsid w:val="00C44B73"/>
    <w:rsid w:val="00C53A0A"/>
    <w:rsid w:val="00D7266E"/>
    <w:rsid w:val="00DC22EA"/>
    <w:rsid w:val="00E318C4"/>
    <w:rsid w:val="00F31833"/>
    <w:rsid w:val="00F6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C0D8B"/>
  <w15:chartTrackingRefBased/>
  <w15:docId w15:val="{BC5B12D9-014C-4AB5-AA90-116250CB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6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B84"/>
  </w:style>
  <w:style w:type="paragraph" w:styleId="Footer">
    <w:name w:val="footer"/>
    <w:basedOn w:val="Normal"/>
    <w:link w:val="FooterChar"/>
    <w:uiPriority w:val="99"/>
    <w:unhideWhenUsed/>
    <w:rsid w:val="00426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B84"/>
  </w:style>
  <w:style w:type="table" w:styleId="TableGrid">
    <w:name w:val="Table Grid"/>
    <w:basedOn w:val="TableNormal"/>
    <w:uiPriority w:val="39"/>
    <w:rsid w:val="00264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123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3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2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CA2B2-F161-4552-B33F-ACA6C0AB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 Air Communities RFA Appendix E Priority Areas</vt:lpstr>
    </vt:vector>
  </TitlesOfParts>
  <Company>Virginia IT Infrastructure Partnership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 Air Communities RFA Appendix E Priority Areas</dc:title>
  <dc:subject/>
  <dc:creator>Irina Calos</dc:creator>
  <cp:keywords/>
  <dc:description/>
  <cp:lastModifiedBy>Tripp, Susan (DEQ)</cp:lastModifiedBy>
  <cp:revision>4</cp:revision>
  <dcterms:created xsi:type="dcterms:W3CDTF">2020-09-29T13:45:00Z</dcterms:created>
  <dcterms:modified xsi:type="dcterms:W3CDTF">2020-10-09T16:02:00Z</dcterms:modified>
</cp:coreProperties>
</file>